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jc w:val="both"/>
        <w:rPr>
          <w:rFonts w:ascii="Times New Roman" w:hAnsi="Times New Roman" w:cs="Times New Roman"/>
        </w:rPr>
      </w:pPr>
      <w:r>
        <w:rPr>
          <w:rFonts w:cs="Times New Roman" w:ascii="Times New Roman" w:hAnsi="Times New Roman"/>
        </w:rPr>
        <w:t>Документом, предназначенным для рассмотрения на публичных слушаниях, является проект решения Совета депутатов Казановского 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rFonts w:eastAsia="Times New Roman" w:cs="Times New Roman"/>
          <w:b/>
          <w:bCs/>
          <w:color w:val="000000" w:themeColor="text1"/>
          <w:sz w:val="26"/>
          <w:szCs w:val="26"/>
          <w:highlight w:val="yellow"/>
          <w:lang w:bidi="ru-RU"/>
        </w:rPr>
        <w:t>проект</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КАЗАНОВСКОГО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00 ноября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п. Казановка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 </w:t>
      </w:r>
      <w:r>
        <w:rPr>
          <w:rFonts w:eastAsia="Times New Roman" w:cs="Times New Roman" w:ascii="Times New Roman" w:hAnsi="Times New Roman"/>
          <w:lang w:eastAsia="zh-CN"/>
        </w:rPr>
        <w:t>00</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3"/>
        <w:gridCol w:w="4217"/>
      </w:tblGrid>
      <w:tr>
        <w:trPr/>
        <w:tc>
          <w:tcPr>
            <w:tcW w:w="5353"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Казановского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7"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Рассмотрев инициативу Собрания депутатов Варненского муниципального района Челябинской области от 31 октября 2024 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w:t>
      </w:r>
      <w:r>
        <w:rPr>
          <w:color w:val="000000"/>
          <w:sz w:val="26"/>
          <w:szCs w:val="26"/>
        </w:rPr>
        <w:t xml:space="preserve"> </w:t>
      </w:r>
      <w:r>
        <w:rPr>
          <w:color w:val="000000"/>
          <w:sz w:val="26"/>
          <w:szCs w:val="26"/>
        </w:rPr>
        <w:t>25 ноября 2024г</w:t>
      </w:r>
      <w:r>
        <w:rPr>
          <w:color w:val="000000"/>
          <w:sz w:val="26"/>
          <w:szCs w:val="26"/>
        </w:rPr>
        <w:t>.</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Казановского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Казановского сельского поселения Варненского района Челябинской области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6"/>
          <w:szCs w:val="26"/>
        </w:rPr>
        <w:tab/>
        <w:tab/>
        <w:tab/>
        <w:tab/>
        <w:tab/>
        <w:tab/>
        <w:tab/>
        <w:tab/>
      </w:r>
    </w:p>
    <w:p>
      <w:pPr>
        <w:pStyle w:val="22"/>
        <w:shd w:val="clear" w:color="auto" w:fill="auto"/>
        <w:tabs>
          <w:tab w:val="clear" w:pos="708"/>
          <w:tab w:val="left" w:pos="0" w:leader="none"/>
        </w:tabs>
        <w:spacing w:lineRule="auto" w:line="240"/>
        <w:jc w:val="both"/>
        <w:rPr>
          <w:sz w:val="20"/>
          <w:szCs w:val="20"/>
        </w:rPr>
      </w:pPr>
      <w:r>
        <w:rPr>
          <w:sz w:val="26"/>
          <w:szCs w:val="26"/>
        </w:rPr>
        <w:tab/>
        <w:t xml:space="preserve">3. Опубликовать настоящее решение в газете «Советское село» и разместить на официальном сайте администрации Казановского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6"/>
          <w:szCs w:val="26"/>
        </w:rPr>
      </w:pPr>
      <w:r>
        <w:rPr>
          <w:sz w:val="26"/>
          <w:szCs w:val="26"/>
        </w:rPr>
        <w:tab/>
        <w:t>4. Контроль за исполнением настоящего решения возложить на постоянную комиссию по вопросам мандатов, Регламенту, депутатской этике, самоуправления и правопорядка (</w:t>
      </w:r>
      <w:r>
        <w:rPr>
          <w:color w:val="000000"/>
          <w:sz w:val="26"/>
          <w:szCs w:val="26"/>
        </w:rPr>
        <w:t>Коломыцеву Н.В.</w:t>
      </w:r>
      <w:bookmarkStart w:id="0" w:name="_GoBack"/>
      <w:bookmarkEnd w:id="0"/>
      <w:r>
        <w:rPr>
          <w:color w:val="000000"/>
          <w:sz w:val="26"/>
          <w:szCs w:val="26"/>
        </w:rPr>
        <w:t>).</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8"/>
        </w:rPr>
      </w:pPr>
      <w:r>
        <w:rPr>
          <w:rFonts w:ascii="Times New Roman" w:hAnsi="Times New Roman"/>
          <w:sz w:val="26"/>
          <w:szCs w:val="26"/>
        </w:rPr>
        <w:t>Глава Казановского сельского поселения</w:t>
      </w:r>
    </w:p>
    <w:p>
      <w:pPr>
        <w:pStyle w:val="Normal"/>
        <w:jc w:val="both"/>
        <w:rPr>
          <w:rFonts w:ascii="Times New Roman" w:hAnsi="Times New Roman"/>
          <w:sz w:val="28"/>
        </w:rPr>
      </w:pPr>
      <w:r>
        <w:rPr>
          <w:rFonts w:ascii="Times New Roman" w:hAnsi="Times New Roman"/>
          <w:sz w:val="26"/>
          <w:szCs w:val="26"/>
        </w:rPr>
        <w:t>Варненского муниципального района</w:t>
      </w:r>
    </w:p>
    <w:p>
      <w:pPr>
        <w:pStyle w:val="Normal"/>
        <w:jc w:val="both"/>
        <w:rPr>
          <w:rFonts w:ascii="Times New Roman" w:hAnsi="Times New Roman"/>
        </w:rPr>
      </w:pPr>
      <w:r>
        <w:rPr>
          <w:rFonts w:ascii="Times New Roman" w:hAnsi="Times New Roman"/>
          <w:sz w:val="26"/>
          <w:szCs w:val="26"/>
        </w:rPr>
        <w:t xml:space="preserve">Челябинской области                                                                    Т.Н. Коломыцева </w:t>
      </w:r>
    </w:p>
    <w:p>
      <w:pPr>
        <w:pStyle w:val="Normal"/>
        <w:jc w:val="both"/>
        <w:rPr>
          <w:rFonts w:ascii="Times New Roman" w:hAnsi="Times New Roman"/>
        </w:rPr>
      </w:pPr>
      <w:r>
        <w:rPr>
          <w:rFonts w:ascii="Times New Roman" w:hAnsi="Times New Roman"/>
          <w:sz w:val="26"/>
          <w:szCs w:val="26"/>
        </w:rPr>
      </w:r>
    </w:p>
    <w:p>
      <w:pPr>
        <w:pStyle w:val="Normal"/>
        <w:jc w:val="both"/>
        <w:rPr>
          <w:rFonts w:ascii="Times New Roman" w:hAnsi="Times New Roman"/>
          <w:sz w:val="28"/>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8"/>
        </w:rPr>
      </w:pPr>
      <w:r>
        <w:rPr>
          <w:rFonts w:ascii="Times New Roman" w:hAnsi="Times New Roman"/>
          <w:sz w:val="26"/>
          <w:szCs w:val="26"/>
        </w:rPr>
        <w:t>Казановского сельского поселения</w:t>
      </w:r>
    </w:p>
    <w:p>
      <w:pPr>
        <w:pStyle w:val="Normal"/>
        <w:jc w:val="both"/>
        <w:rPr>
          <w:rFonts w:ascii="Times New Roman" w:hAnsi="Times New Roman"/>
          <w:sz w:val="28"/>
        </w:rPr>
      </w:pPr>
      <w:r>
        <w:rPr>
          <w:rFonts w:ascii="Times New Roman" w:hAnsi="Times New Roman"/>
          <w:sz w:val="26"/>
          <w:szCs w:val="26"/>
        </w:rPr>
        <w:t xml:space="preserve">Варненского муниципального района           </w:t>
      </w:r>
    </w:p>
    <w:p>
      <w:pPr>
        <w:pStyle w:val="Normal"/>
        <w:jc w:val="both"/>
        <w:rPr>
          <w:rFonts w:ascii="Times New Roman" w:hAnsi="Times New Roman"/>
        </w:rPr>
      </w:pPr>
      <w:r>
        <w:rPr>
          <w:rFonts w:ascii="Times New Roman" w:hAnsi="Times New Roman"/>
          <w:sz w:val="26"/>
          <w:szCs w:val="26"/>
        </w:rPr>
        <w:t>Челябинской области                                                                         Р.У. Хасанова</w:t>
      </w:r>
    </w:p>
    <w:p>
      <w:pPr>
        <w:pStyle w:val="Normal"/>
        <w:jc w:val="both"/>
        <w:rPr>
          <w:rFonts w:ascii="Times New Roman" w:hAnsi="Times New Roman"/>
        </w:rPr>
      </w:pPr>
      <w:r>
        <w:rPr>
          <w:sz w:val="26"/>
          <w:szCs w:val="26"/>
        </w:rPr>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bidi="ru-RU" w:val="ru-RU" w:eastAsia="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LibreOffice/6.4.0.3$Windows_X86_64 LibreOffice_project/b0a288ab3d2d4774cb44b62f04d5d28733ac6df8</Application>
  <Pages>2</Pages>
  <Words>421</Words>
  <Characters>3564</Characters>
  <CharactersWithSpaces>4273</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2024-08-13T10:17:00Z</cp:lastPrinted>
  <dcterms:modified xsi:type="dcterms:W3CDTF">2024-11-11T15:08:42Z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